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0B" w:rsidRDefault="008A000B"/>
    <w:p w:rsidR="008A000B" w:rsidRPr="008A000B" w:rsidRDefault="008A000B" w:rsidP="008A000B">
      <w:pPr>
        <w:spacing w:after="0" w:line="240" w:lineRule="auto"/>
        <w:jc w:val="center"/>
        <w:rPr>
          <w:rFonts w:cs="Calibri"/>
          <w:b/>
          <w:sz w:val="28"/>
          <w:szCs w:val="28"/>
          <w:lang w:val="es-MX"/>
        </w:rPr>
      </w:pPr>
      <w:r w:rsidRPr="008A000B">
        <w:rPr>
          <w:rFonts w:cs="Calibri"/>
          <w:b/>
          <w:color w:val="2F5496"/>
          <w:sz w:val="28"/>
          <w:szCs w:val="28"/>
          <w:u w:val="single"/>
          <w:lang w:val="es-MX"/>
        </w:rPr>
        <w:t>RELACIÓN DE ESQUEMAS BURSÁTILES Y DE COBERTURAS FINANCIERAS</w:t>
      </w:r>
      <w:r w:rsidRPr="008A000B">
        <w:rPr>
          <w:rFonts w:cs="Calibri"/>
          <w:b/>
          <w:sz w:val="28"/>
          <w:szCs w:val="28"/>
          <w:lang w:val="es-MX"/>
        </w:rPr>
        <w:t xml:space="preserve"> </w:t>
      </w:r>
    </w:p>
    <w:p w:rsidR="008A000B" w:rsidRPr="00E74967" w:rsidRDefault="008A000B" w:rsidP="008A000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Al 31 de marzo de 2026</w:t>
      </w:r>
      <w:r>
        <w:rPr>
          <w:rFonts w:cs="Calibri"/>
          <w:b/>
          <w:sz w:val="28"/>
          <w:szCs w:val="28"/>
        </w:rPr>
        <w:t>.</w:t>
      </w:r>
    </w:p>
    <w:p w:rsidR="008A000B" w:rsidRDefault="008A000B" w:rsidP="008A000B">
      <w:pPr>
        <w:spacing w:after="0" w:line="240" w:lineRule="auto"/>
        <w:jc w:val="both"/>
        <w:rPr>
          <w:rFonts w:cs="Calibri"/>
        </w:rPr>
      </w:pPr>
    </w:p>
    <w:p w:rsidR="008A000B" w:rsidRDefault="008A000B" w:rsidP="008A000B">
      <w:pPr>
        <w:spacing w:after="0" w:line="240" w:lineRule="auto"/>
        <w:jc w:val="both"/>
        <w:rPr>
          <w:rFonts w:cs="Calibri"/>
        </w:rPr>
      </w:pPr>
    </w:p>
    <w:p w:rsidR="008A000B" w:rsidRDefault="008A000B" w:rsidP="008A000B">
      <w:pPr>
        <w:spacing w:after="0" w:line="240" w:lineRule="auto"/>
        <w:jc w:val="both"/>
        <w:rPr>
          <w:rFonts w:cs="Calibri"/>
        </w:rPr>
      </w:pPr>
    </w:p>
    <w:p w:rsidR="008A000B" w:rsidRDefault="008A000B" w:rsidP="008A000B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C47C5" wp14:editId="4F6A4CDF">
                <wp:simplePos x="0" y="0"/>
                <wp:positionH relativeFrom="column">
                  <wp:posOffset>1433195</wp:posOffset>
                </wp:positionH>
                <wp:positionV relativeFrom="paragraph">
                  <wp:posOffset>91440</wp:posOffset>
                </wp:positionV>
                <wp:extent cx="4419600" cy="266700"/>
                <wp:effectExtent l="0" t="0" r="19050" b="1905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00B" w:rsidRDefault="008A000B" w:rsidP="008A00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A9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No se cuenta con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Esquemas Bursátiles y Coberturas Financieras.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C47C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112.85pt;margin-top:7.2pt;width:348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A000B" w:rsidRDefault="008A000B" w:rsidP="008A000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061A9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No se cuenta con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Esquemas Bursátiles y Coberturas Financieras.</w:t>
                      </w:r>
                    </w:p>
                  </w:txbxContent>
                </v:textbox>
              </v:shape>
            </w:pict>
          </mc:Fallback>
        </mc:AlternateContent>
      </w:r>
    </w:p>
    <w:p w:rsidR="008A000B" w:rsidRDefault="008A000B" w:rsidP="008A000B"/>
    <w:p w:rsidR="008A000B" w:rsidRPr="008A000B" w:rsidRDefault="008A000B" w:rsidP="008A000B"/>
    <w:p w:rsidR="008A000B" w:rsidRDefault="008A000B" w:rsidP="008A000B">
      <w:bookmarkStart w:id="0" w:name="_GoBack"/>
      <w:bookmarkEnd w:id="0"/>
    </w:p>
    <w:p w:rsidR="00EE20CC" w:rsidRPr="008A000B" w:rsidRDefault="008A000B" w:rsidP="008A000B">
      <w:pPr>
        <w:tabs>
          <w:tab w:val="left" w:pos="1950"/>
        </w:tabs>
      </w:pPr>
      <w:r>
        <w:tab/>
      </w:r>
    </w:p>
    <w:sectPr w:rsidR="00EE20CC" w:rsidRPr="008A000B" w:rsidSect="008325AD">
      <w:pgSz w:w="12240" w:h="15840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0B"/>
    <w:rsid w:val="005D57FA"/>
    <w:rsid w:val="005F32DA"/>
    <w:rsid w:val="008325AD"/>
    <w:rsid w:val="008A000B"/>
    <w:rsid w:val="00E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27CA"/>
  <w15:chartTrackingRefBased/>
  <w15:docId w15:val="{E925D4FA-2942-468B-8605-1F2F385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dcterms:created xsi:type="dcterms:W3CDTF">2026-04-28T20:02:00Z</dcterms:created>
  <dcterms:modified xsi:type="dcterms:W3CDTF">2026-04-28T20:02:00Z</dcterms:modified>
</cp:coreProperties>
</file>